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0"/>
        <w:ind w:right="5523"/>
        <w:jc w:val="both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5293995</wp:posOffset>
                </wp:positionH>
                <wp:positionV relativeFrom="page">
                  <wp:posOffset>2132965</wp:posOffset>
                </wp:positionV>
                <wp:extent cx="1245870" cy="2743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755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2;o:allowoverlap:true;o:allowincell:true;mso-position-horizontal-relative:page;margin-left:416.8pt;mso-position-horizontal:absolute;mso-position-vertical-relative:page;margin-top:167.9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755</w: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2132965</wp:posOffset>
                </wp:positionV>
                <wp:extent cx="1245870" cy="2743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10</w:t>
                            </w:r>
                            <w:r>
                              <w:t xml:space="preserve">.12.2020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1;o:allowoverlap:true;o:allowincell:true;mso-position-horizontal-relative:page;margin-left:127.0pt;mso-position-horizontal:absolute;mso-position-vertical-relative:page;margin-top:167.9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Normal"/>
                      </w:pPr>
                      <w: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10</w:t>
                      </w:r>
                      <w:r>
                        <w:t xml:space="preserve">.12.2020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230505</wp:posOffset>
                </wp:positionV>
                <wp:extent cx="5673090" cy="269176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5673090" cy="269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524288;o:allowoverlap:true;o:allowincell:true;mso-position-horizontal-relative:page;margin-left:70.9pt;mso-position-horizontal:absolute;mso-position-vertical-relative:page;margin-top:18.1pt;mso-position-vertical:absolute;width:446.7pt;height:211.9pt;">
                <v:path textboxrect="0,0,0,0"/>
                <v:imagedata r:id="rId11" o:title=""/>
              </v:shape>
            </w:pict>
          </mc:Fallback>
        </mc:AlternateContent>
      </w:r>
      <w:r>
        <w:t xml:space="preserve">О внесении изменений в поста-новление администрации Алек-сандровского муниципального </w:t>
      </w:r>
      <w:r>
        <w:rPr>
          <w:spacing w:val="-6"/>
        </w:rPr>
        <w:t xml:space="preserve">района от 08 ноября 2019 г. № 631</w:t>
      </w:r>
      <w:r>
        <w:t xml:space="preserve"> «Об утверждении муниципаль-ной программы «Благо</w:t>
      </w:r>
      <w:r>
        <w:rPr>
          <w:spacing w:val="6"/>
        </w:rPr>
        <w:t xml:space="preserve">устрой-</w:t>
      </w:r>
      <w:r>
        <w:rPr>
          <w:spacing w:val="-6"/>
        </w:rPr>
        <w:t xml:space="preserve">ство территории Александровс-</w:t>
      </w:r>
      <w:r>
        <w:t xml:space="preserve">кого муниципального округа»</w:t>
      </w:r>
    </w:p>
    <w:p>
      <w:pPr>
        <w:pStyle w:val="BodyText"/>
        <w:ind w:firstLine="709"/>
        <w:jc w:val="both"/>
        <w:spacing w:lineRule="exact" w:line="360" w:after="0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бюджета Александровского муниципального округа на 2021 год и плановый период 2022-2023 годов</w:t>
      </w:r>
      <w:r>
        <w:t xml:space="preserve">,</w:t>
      </w:r>
      <w:r>
        <w:t xml:space="preserve"> 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spacing w:lineRule="exact" w:line="360"/>
      </w:pPr>
      <w:r>
        <w:t xml:space="preserve">администрация Александровского муниципального района ПОСТАНОВЛЯЕТ:</w:t>
      </w:r>
    </w:p>
    <w:p>
      <w:pPr>
        <w:pStyle w:val="Normal"/>
        <w:ind w:firstLine="708"/>
        <w:jc w:val="both"/>
        <w:spacing w:lineRule="exact" w:line="360"/>
      </w:pPr>
      <w:r>
        <w:t xml:space="preserve">1. Приложение к постановлению администрации Александровского муниципального района от 08 ноября 2019 г. № 631</w:t>
      </w:r>
      <w:r>
        <w:t xml:space="preserve"> </w:t>
      </w:r>
      <w:r>
        <w:t xml:space="preserve">изложить в новой редакции</w:t>
      </w:r>
      <w:r>
        <w:t xml:space="preserve"> согласно приложению к настоящему постановлению.</w:t>
      </w:r>
    </w:p>
    <w:p>
      <w:pPr>
        <w:pStyle w:val="Normal"/>
        <w:ind w:firstLine="708"/>
        <w:jc w:val="both"/>
        <w:spacing w:lineRule="exact" w:line="360"/>
      </w:pPr>
      <w:r>
        <w:t xml:space="preserve">2. Признать утратившим силу</w:t>
      </w:r>
      <w:r>
        <w:t xml:space="preserve"> </w:t>
      </w:r>
      <w:r>
        <w:t xml:space="preserve">постановлени</w:t>
      </w:r>
      <w:r>
        <w:t xml:space="preserve">е</w:t>
      </w:r>
      <w:r>
        <w:t xml:space="preserve"> администрации Александровского муниципального района от </w:t>
      </w:r>
      <w:r>
        <w:t xml:space="preserve">27</w:t>
      </w:r>
      <w:r>
        <w:t xml:space="preserve"> </w:t>
      </w:r>
      <w:r>
        <w:t xml:space="preserve">июля</w:t>
      </w:r>
      <w:r>
        <w:t xml:space="preserve"> 20</w:t>
      </w:r>
      <w:r>
        <w:t xml:space="preserve">20</w:t>
      </w:r>
      <w:r>
        <w:t xml:space="preserve"> г. № 3</w:t>
      </w:r>
      <w:r>
        <w:t xml:space="preserve">49 и от </w:t>
      </w:r>
      <w:r>
        <w:br/>
      </w:r>
      <w:r>
        <w:t xml:space="preserve">28 октября 2020 г. № 651</w:t>
      </w:r>
      <w:r>
        <w:t xml:space="preserve">.</w:t>
      </w:r>
    </w:p>
    <w:p>
      <w:pPr>
        <w:pStyle w:val="BodyText"/>
        <w:ind w:firstLine="720"/>
        <w:jc w:val="both"/>
        <w:spacing w:lineRule="exact" w:line="360" w:after="0"/>
      </w:pPr>
      <w:r>
        <w:rPr>
          <w:bCs/>
        </w:rPr>
        <w:t xml:space="preserve">3</w:t>
      </w:r>
      <w:r>
        <w:rPr>
          <w:bCs/>
        </w:rPr>
        <w:t xml:space="preserve">. </w:t>
      </w:r>
      <w:r>
        <w:t xml:space="preserve">Опубликовать настоящее постановление в газете «Боевой путь» и разместить на сайте </w:t>
      </w:r>
      <w:r>
        <w:rPr>
          <w:lang w:val="en-US"/>
        </w:rPr>
        <w:t xml:space="preserve">aleksraion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</w:p>
    <w:p>
      <w:pPr>
        <w:pStyle w:val="BodyText"/>
        <w:spacing w:lineRule="exact" w:line="240" w:before="720"/>
        <w:sectPr>
          <w:headerReference w:type="default" r:id="rId7"/>
          <w:footerReference w:type="default" r:id="rId9"/>
          <w:type w:val="nextPage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  <w:r>
        <w:t xml:space="preserve">Глава муниципального района -</w:t>
        <w:br/>
        <w:t xml:space="preserve">глава администрации Александровского</w:t>
        <w:br/>
        <w:t xml:space="preserve">муниципального района </w:t>
        <w:tab/>
        <w:tab/>
        <w:tab/>
        <w:tab/>
        <w:tab/>
        <w:t xml:space="preserve">                  С.В. Богатырева</w:t>
      </w:r>
    </w:p>
    <w:p>
      <w:pPr>
        <w:pStyle w:val="Normal"/>
        <w:ind w:left="5760"/>
        <w:spacing w:lineRule="exact" w:line="24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-228599</wp:posOffset>
                </wp:positionV>
                <wp:extent cx="357505" cy="2203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4;o:allowoverlap:true;o:allowincell:true;mso-position-horizontal-relative:text;margin-left:225.0pt;mso-position-horizontal:absolute;mso-position-vertical-relative:text;margin-top:-18.0pt;mso-position-vertical:absolute;width:28.1pt;height:17.3pt;" coordsize="100000,100000" path="" fillcolor="#FFFFFF">
                <v:path textboxrect="0,0,0,0"/>
              </v:shape>
            </w:pict>
          </mc:Fallback>
        </mc:AlternateContent>
      </w:r>
      <w:r>
        <w:rPr>
          <w:sz w:val="28"/>
          <w:szCs w:val="28"/>
        </w:rPr>
        <w:t xml:space="preserve">Приложение</w:t>
      </w:r>
    </w:p>
    <w:p>
      <w:pPr>
        <w:pStyle w:val="Normal"/>
        <w:ind w:left="5760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</w:p>
    <w:p>
      <w:pPr>
        <w:pStyle w:val="Normal"/>
        <w:ind w:left="5760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Александровского муниципального района</w:t>
      </w:r>
    </w:p>
    <w:p>
      <w:pPr>
        <w:pStyle w:val="Normal"/>
        <w:ind w:left="5760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pStyle w:val="Normal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</w:p>
    <w:p>
      <w:pPr>
        <w:pStyle w:val="Normal"/>
        <w:jc w:val="center"/>
        <w:spacing w:lineRule="exact" w:line="240"/>
        <w:rPr>
          <w:b/>
        </w:rPr>
      </w:pPr>
      <w:bookmarkStart w:id="0" w:name="Par252"/>
      <w:bookmarkEnd w:id="0"/>
      <w:r>
        <w:rPr>
          <w:b/>
          <w:sz w:val="28"/>
          <w:szCs w:val="28"/>
        </w:rPr>
        <w:t xml:space="preserve">«Благоустройство территории </w:t>
      </w:r>
      <w:r>
        <w:rPr>
          <w:b/>
        </w:rPr>
        <w:t xml:space="preserve">Александровского </w:t>
      </w:r>
    </w:p>
    <w:p>
      <w:pPr>
        <w:pStyle w:val="Normal"/>
        <w:jc w:val="center"/>
        <w:spacing w:lineRule="exact" w:line="240"/>
        <w:rPr>
          <w:sz w:val="28"/>
          <w:szCs w:val="28"/>
        </w:rPr>
      </w:pPr>
      <w:r>
        <w:rPr>
          <w:b/>
        </w:rPr>
        <w:t xml:space="preserve">муниципального округа</w:t>
      </w:r>
      <w:r>
        <w:rPr>
          <w:sz w:val="28"/>
          <w:szCs w:val="28"/>
        </w:rPr>
        <w:t xml:space="preserve">»</w:t>
      </w:r>
    </w:p>
    <w:p>
      <w:pPr>
        <w:pStyle w:val="Normal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муниципальной Программы</w:t>
      </w:r>
    </w:p>
    <w:p>
      <w:pPr>
        <w:pStyle w:val="Normal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75" w:type="dxa"/>
          <w:top w:w="0" w:type="dxa"/>
          <w:right w:w="75" w:type="dxa"/>
          <w:bottom w:w="0" w:type="dxa"/>
        </w:tblCellMar>
      </w:tblPr>
      <w:tblGrid>
        <w:gridCol w:w="3032"/>
        <w:gridCol w:w="6755"/>
      </w:tblGrid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top"/>
            <w:textDirection w:val="lrTb"/>
          </w:tcPr>
          <w:p>
            <w:pPr>
              <w:pStyle w:val="Normal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  <w:br/>
              <w:t xml:space="preserve">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Александровского муниципального округа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развития инфраструктуры и градостроительства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администрация района, курирующий вопросы благоустройства территории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администрации района, отвечающее за решение вопросов благоустройства территории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Александровского муниципального района, ее структурные подразделения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качества жизни населения.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населенных пунктов округа.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комфортного проживания на территории округа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программы 2020-2023 годы</w:t>
            </w:r>
          </w:p>
        </w:tc>
      </w:tr>
      <w:tr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</w:t>
            </w:r>
          </w:p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средств, необходимых для реализации программных мероприятий, составляет 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080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рублей, в том числе по источникам финансирования:</w:t>
            </w:r>
          </w:p>
          <w:tbl>
            <w:tblPr>
              <w:tblW w:w="4708" w:type="dxa"/>
              <w:tblInd w:w="0" w:type="dxa"/>
              <w:tblLayout w:type="autofit"/>
              <w:tblCellMar>
                <w:left w:w="75" w:type="dxa"/>
                <w:top w:w="0" w:type="dxa"/>
                <w:right w:w="75" w:type="dxa"/>
                <w:bottom w:w="0" w:type="dxa"/>
              </w:tblCellMar>
            </w:tblPr>
            <w:tblGrid>
              <w:gridCol w:w="4708"/>
            </w:tblGrid>
            <w:t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4708" w:type="dxa"/>
                  <w:vAlign w:val="center"/>
                  <w:textDirection w:val="lrTb"/>
                </w:tcPr>
                <w:p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Местный бюджет – 60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7</w:t>
                  </w:r>
                  <w:r>
                    <w:rPr>
                      <w:sz w:val="24"/>
                      <w:szCs w:val="24"/>
                    </w:rPr>
                    <w:t xml:space="preserve">8</w:t>
                  </w:r>
                  <w:r>
                    <w:rPr>
                      <w:sz w:val="24"/>
                      <w:szCs w:val="24"/>
                    </w:rPr>
                    <w:t xml:space="preserve">1</w:t>
                  </w:r>
                  <w:r>
                    <w:rPr>
                      <w:sz w:val="24"/>
                      <w:szCs w:val="24"/>
                    </w:rPr>
                    <w:t xml:space="preserve">,</w:t>
                  </w:r>
                  <w:r>
                    <w:rPr>
                      <w:sz w:val="24"/>
                      <w:szCs w:val="24"/>
                    </w:rPr>
                    <w:t xml:space="preserve">4</w:t>
                  </w:r>
                  <w:r>
                    <w:rPr>
                      <w:sz w:val="24"/>
                      <w:szCs w:val="24"/>
                    </w:rPr>
                    <w:t xml:space="preserve">9</w:t>
                  </w:r>
                  <w:r>
                    <w:rPr>
                      <w:sz w:val="24"/>
                      <w:szCs w:val="24"/>
                    </w:rPr>
                    <w:t xml:space="preserve"> тыс.руб.</w:t>
                  </w:r>
                </w:p>
              </w:tc>
            </w:tr>
            <w:t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4708" w:type="dxa"/>
                  <w:vAlign w:val="top"/>
                  <w:textDirection w:val="lrTb"/>
                </w:tcPr>
                <w:p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Краевой бюджет – </w:t>
                  </w:r>
                  <w:r>
                    <w:rPr>
                      <w:sz w:val="24"/>
                      <w:szCs w:val="24"/>
                    </w:rPr>
                    <w:t xml:space="preserve">20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336</w:t>
                  </w:r>
                  <w:r>
                    <w:rPr>
                      <w:sz w:val="24"/>
                      <w:szCs w:val="24"/>
                    </w:rPr>
                    <w:t xml:space="preserve">,</w:t>
                  </w:r>
                  <w:r>
                    <w:rPr>
                      <w:sz w:val="24"/>
                      <w:szCs w:val="24"/>
                    </w:rPr>
                    <w:t xml:space="preserve">62</w:t>
                  </w:r>
                  <w:r>
                    <w:rPr>
                      <w:sz w:val="24"/>
                      <w:szCs w:val="24"/>
                    </w:rPr>
                    <w:t xml:space="preserve"> тыс.руб.</w:t>
                  </w:r>
                </w:p>
                <w:p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Федеральный бюджет – </w:t>
                  </w:r>
                  <w:r>
                    <w:rPr>
                      <w:sz w:val="24"/>
                      <w:szCs w:val="24"/>
                    </w:rPr>
                    <w:t xml:space="preserve">38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958</w:t>
                  </w:r>
                  <w:r>
                    <w:rPr>
                      <w:sz w:val="24"/>
                      <w:szCs w:val="24"/>
                    </w:rPr>
                    <w:t xml:space="preserve">,</w:t>
                  </w:r>
                  <w:r>
                    <w:rPr>
                      <w:sz w:val="24"/>
                      <w:szCs w:val="24"/>
                    </w:rPr>
                    <w:t xml:space="preserve">0</w:t>
                  </w:r>
                  <w:r>
                    <w:rPr>
                      <w:sz w:val="24"/>
                      <w:szCs w:val="24"/>
                    </w:rPr>
                    <w:t xml:space="preserve">9</w:t>
                  </w:r>
                  <w:r>
                    <w:rPr>
                      <w:sz w:val="24"/>
                      <w:szCs w:val="24"/>
                    </w:rPr>
                    <w:t xml:space="preserve"> тыс.руб.</w:t>
                  </w:r>
                </w:p>
              </w:tc>
            </w:tr>
            <w:t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4708" w:type="dxa"/>
                  <w:vAlign w:val="top"/>
                  <w:textDirection w:val="lrTb"/>
                </w:tcPr>
                <w:p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Внебюджетные источники – 4,</w:t>
                  </w:r>
                  <w:r>
                    <w:rPr>
                      <w:sz w:val="24"/>
                      <w:szCs w:val="24"/>
                    </w:rPr>
                    <w:t xml:space="preserve">45</w:t>
                  </w:r>
                  <w:r>
                    <w:rPr>
                      <w:sz w:val="24"/>
                      <w:szCs w:val="24"/>
                    </w:rPr>
                    <w:t xml:space="preserve"> тыс.руб.,</w:t>
                  </w:r>
                </w:p>
              </w:tc>
            </w:tr>
          </w:tbl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– 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– 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тыс.руб.</w:t>
            </w:r>
          </w:p>
        </w:tc>
      </w:tr>
      <w:tr>
        <w:trPr>
          <w:trHeight w:val="59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Программы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в рамках программ «Формирование комфортной городской среды», «Комплексное развитие сельских территорий».</w:t>
            </w:r>
          </w:p>
        </w:tc>
      </w:tr>
      <w:tr>
        <w:trPr>
          <w:trHeight w:val="6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</w:t>
            </w:r>
          </w:p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Повышение качества жизни населения округа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реализации </w:t>
            </w:r>
          </w:p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</w:p>
          <w:p>
            <w:pPr>
              <w:pStyle w:val="Normal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ходом реализации Программы и целевым использованием бюджетных средств осуществляется в соответствии с действующим законодательством 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Общие положения</w:t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firstLine="720"/>
        <w:jc w:val="both"/>
      </w:pPr>
      <w:r>
        <w:t xml:space="preserve">Программа разработана для решения проблем, существующих в области благоустройства территорий населенных пунктов округа, и в целях привлечения для их решения средств всех уровней бюджета и внебюджетных источников.</w:t>
      </w:r>
    </w:p>
    <w:p>
      <w:pPr>
        <w:pStyle w:val="Normal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20"/>
        <w:jc w:val="center"/>
        <w:rPr>
          <w:b/>
        </w:rPr>
      </w:pPr>
      <w:r>
        <w:rPr>
          <w:b/>
        </w:rPr>
        <w:t xml:space="preserve">3. Обоснование необходимости решения задач программно-целевым методом</w:t>
      </w:r>
    </w:p>
    <w:p>
      <w:pPr>
        <w:pStyle w:val="Normal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20"/>
        <w:jc w:val="both"/>
      </w:pPr>
      <w:r>
        <w:t xml:space="preserve">В соответствии с постановлением Правительства РФ от 10 февраля </w:t>
        <w:br/>
        <w:t xml:space="preserve">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Законом Пермского края от 27 мая 2019 г. № 395-ПК «Об образовании нового муниципального образования Александровский муниципальный округ Пермского края» возникла необходимость разработки окружной муниципальной программы и правил благоустройства для участия в утвержденных программах формирования комфортной городской среды. </w:t>
      </w:r>
    </w:p>
    <w:p>
      <w:pPr>
        <w:pStyle w:val="Normal"/>
        <w:ind w:firstLine="720"/>
        <w:jc w:val="both"/>
      </w:pPr>
      <w:r>
        <w:t xml:space="preserve">Проблемы, возникшие в области благоустройства территории в связи с преобразованием муниципального образования, невозможно решить в рамках текущего финансирования в связи с ограниченностью средств в бюджете округа. Проблемы в этих областях следует решать программно-целевым методом путем объединения организационных и финансовых ресурсов, что является обоснованием необходимости разработки настоящей Программы.</w:t>
      </w:r>
    </w:p>
    <w:p>
      <w:pPr>
        <w:pStyle w:val="Normal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spacing w:lineRule="exact" w:line="360"/>
        <w:rPr>
          <w:b/>
          <w:bCs/>
        </w:rPr>
      </w:pPr>
      <w:r>
        <w:rPr>
          <w:b/>
          <w:bCs/>
        </w:rPr>
        <w:t xml:space="preserve">4. Основные цели и задачи Программы</w:t>
      </w:r>
    </w:p>
    <w:p>
      <w:pPr>
        <w:pStyle w:val="Normal"/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widowControl w:val="off"/>
        <w:rPr>
          <w:sz w:val="24"/>
          <w:szCs w:val="24"/>
        </w:rPr>
      </w:pPr>
      <w:r>
        <w:rPr>
          <w:sz w:val="28"/>
          <w:szCs w:val="28"/>
        </w:rPr>
        <w:t xml:space="preserve">Цель - Повышение уровня комфортности проживания на территории округа</w:t>
      </w:r>
      <w:r>
        <w:rPr>
          <w:sz w:val="24"/>
          <w:szCs w:val="24"/>
        </w:rPr>
        <w:t xml:space="preserve">.</w:t>
      </w:r>
    </w:p>
    <w:p>
      <w:pPr>
        <w:pStyle w:val="Normal"/>
        <w:ind w:firstLine="709"/>
        <w:jc w:val="both"/>
      </w:pPr>
      <w:r>
        <w:t xml:space="preserve">Задачи – Создание новых общественных территорий;</w:t>
      </w:r>
    </w:p>
    <w:p>
      <w:pPr>
        <w:pStyle w:val="Normal"/>
        <w:ind w:firstLine="709"/>
        <w:jc w:val="both"/>
      </w:pPr>
      <w:r>
        <w:t xml:space="preserve">- Ремонт дворовых территорий;</w:t>
      </w:r>
    </w:p>
    <w:p>
      <w:pPr>
        <w:pStyle w:val="Normal"/>
        <w:ind w:firstLine="709"/>
        <w:jc w:val="both"/>
      </w:pPr>
      <w:r>
        <w:t xml:space="preserve">- Поддержание территорий населенных пунктов в нормативном состоянии.</w:t>
      </w:r>
    </w:p>
    <w:p>
      <w:pPr>
        <w:pStyle w:val="Normal"/>
        <w:outlineLvl w:val="2"/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Перечень целевых показателей Программы</w:t>
      </w:r>
    </w:p>
    <w:p>
      <w:pPr>
        <w:pStyle w:val="UserStyle_2"/>
        <w:jc w:val="center"/>
        <w:rPr>
          <w:rFonts w:ascii="Times New Roman" w:hAnsi="Times New Roman"/>
        </w:rPr>
        <w:outlineLvl w:val="2"/>
      </w:pPr>
      <w:r>
        <w:rPr>
          <w:rFonts w:ascii="Times New Roman" w:hAnsi="Times New Roman"/>
        </w:rPr>
      </w:r>
    </w:p>
    <w:tbl>
      <w:tblPr>
        <w:tblW w:w="10774" w:type="dxa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993"/>
        <w:gridCol w:w="992"/>
        <w:gridCol w:w="992"/>
        <w:gridCol w:w="992"/>
        <w:gridCol w:w="2127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vAlign w:val="center"/>
            <w:vMerge w:val="restart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изм.</w:t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vMerge w:val="restart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программных мероприятий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UserStyle_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</w:tcPr>
          <w:p>
            <w:pPr>
              <w:pStyle w:val="UserStyle_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комфортной городской среды (ФКГС)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</w:tcPr>
          <w:p>
            <w:pPr>
              <w:pStyle w:val="UserStyle_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программы ФКГС</w:t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UserStyle_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</w:tcPr>
          <w:p>
            <w:pPr>
              <w:pStyle w:val="UserStyle_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сельских территорий (КРСТ)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</w:tcPr>
          <w:p>
            <w:pPr>
              <w:pStyle w:val="UserStyle_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</w:tcPr>
          <w:p>
            <w:pPr>
              <w:pStyle w:val="UserStyle_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программы КРСТ</w:t>
            </w:r>
          </w:p>
        </w:tc>
      </w:tr>
    </w:tbl>
    <w:p>
      <w:pPr>
        <w:pStyle w:val="Normal"/>
        <w:jc w:val="center"/>
        <w:spacing w:lineRule="exact" w:line="360"/>
        <w:rPr>
          <w:b/>
          <w:bCs/>
        </w:rPr>
      </w:pPr>
      <w:r>
        <w:rPr>
          <w:b/>
          <w:bCs/>
        </w:rPr>
        <w:t xml:space="preserve">5. Система программных мероприятий</w:t>
      </w:r>
    </w:p>
    <w:p>
      <w:pPr>
        <w:pStyle w:val="Normal"/>
        <w:jc w:val="center"/>
        <w:spacing w:lineRule="exact" w:line="240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мероприятия, реализация которых необходима для достижения поставленных целей и задач, отражены в таблице «Сводные финансовые затраты».</w:t>
      </w:r>
    </w:p>
    <w:p>
      <w:pPr>
        <w:pStyle w:val="Normal"/>
        <w:jc w:val="center"/>
        <w:spacing w:lineRule="exact" w:line="24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ожидаемых результатов реализации Программы</w:t>
      </w:r>
    </w:p>
    <w:p>
      <w:pPr>
        <w:pStyle w:val="Normal"/>
        <w:jc w:val="center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производится исходя из степени достижения цели и задач, предусмотренных Программой, в соответствии с Порядком проведения оценки и критериями эффективности реализации программ.</w:t>
      </w:r>
    </w:p>
    <w:p>
      <w:pPr>
        <w:pStyle w:val="Normal"/>
        <w:ind w:firstLine="561"/>
        <w:jc w:val="both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Система управления реализацией Программы</w:t>
      </w:r>
    </w:p>
    <w:p>
      <w:pPr>
        <w:pStyle w:val="Normal"/>
        <w:ind w:firstLine="5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отдел развития инфраструктуры и градостроительства администрации Александровского муниципального района. Исполнителями реализации программы назначены отдел развития инфраструктуры и градостроительства.</w:t>
      </w:r>
    </w:p>
    <w:p>
      <w:pPr>
        <w:pStyle w:val="Normal"/>
        <w:ind w:firstLine="561"/>
        <w:jc w:val="both"/>
      </w:pPr>
      <w:r>
        <w:t xml:space="preserve">Контроль за ходом реализации Программы и целевым использованием бюджетных средств осуществляется в соответствии с действующим законодательством.</w:t>
      </w:r>
    </w:p>
    <w:p>
      <w:pPr>
        <w:pStyle w:val="Normal"/>
        <w:ind w:firstLine="561"/>
        <w:jc w:val="both"/>
        <w:rPr>
          <w:b/>
          <w:bCs/>
        </w:rPr>
      </w:pPr>
      <w:r>
        <w:t xml:space="preserve">До формирования администрации Александровского муниципального округа ее функции и полномочия исполняет администрация Александровского муниципального района.</w:t>
      </w:r>
      <w:r>
        <w:rPr>
          <w:b/>
          <w:bCs/>
        </w:rPr>
      </w:r>
    </w:p>
    <w:p>
      <w:pPr>
        <w:pStyle w:val="Normal"/>
        <w:jc w:val="center"/>
        <w:widowControl w:val="o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widowControl w:val="o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8. Ресурсное обеспечение Программы</w:t>
      </w:r>
      <w:r>
        <w:rPr>
          <w:b/>
          <w:sz w:val="28"/>
          <w:szCs w:val="28"/>
        </w:rPr>
      </w:r>
    </w:p>
    <w:p>
      <w:pPr>
        <w:pStyle w:val="Normal"/>
        <w:jc w:val="center"/>
        <w:widowControl w:val="off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widowControl w:val="off"/>
        <w:rPr>
          <w:bCs/>
        </w:rPr>
      </w:pPr>
      <w:r>
        <w:t xml:space="preserve">Сводные финансовые затраты муниципальной Программы</w:t>
      </w:r>
      <w:r>
        <w:rPr>
          <w:bCs/>
        </w:rPr>
      </w:r>
    </w:p>
    <w:tbl>
      <w:tblPr>
        <w:tblW w:w="0" w:type="auto"/>
        <w:tblInd w:w="-6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</w:tblPr>
      <w:tblGrid>
        <w:gridCol w:w="567"/>
        <w:gridCol w:w="2977"/>
        <w:gridCol w:w="1134"/>
        <w:gridCol w:w="1417"/>
        <w:gridCol w:w="1276"/>
        <w:gridCol w:w="1275"/>
        <w:gridCol w:w="1134"/>
        <w:gridCol w:w="1134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программных мероприятий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период действия Программы, тыс.руб.</w:t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годам: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год., тыс.руб.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г.,</w:t>
            </w:r>
          </w:p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г.,</w:t>
            </w:r>
          </w:p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г., тыс.руб.</w:t>
            </w:r>
          </w:p>
        </w:tc>
      </w:tr>
      <w:tr>
        <w:trPr>
          <w:cantSplit/>
          <w:trHeight w:val="57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</w:tcPr>
          <w:p>
            <w:pPr>
              <w:pStyle w:val="Normal"/>
              <w:jc w:val="both"/>
              <w:spacing w:lineRule="exact" w:line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Формирование современной городской среды (в рамках национального проекта «Жилье и городская среда»)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6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241,5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516,46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546,38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589,33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589,33</w:t>
            </w:r>
          </w:p>
        </w:tc>
      </w:tr>
      <w:tr>
        <w:trPr>
          <w:cantSplit/>
          <w:trHeight w:val="57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19 648,77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021,39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198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9</w:t>
            </w: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21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21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21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21</w:t>
            </w:r>
            <w:r>
              <w:rPr>
                <w:b/>
                <w:sz w:val="20"/>
              </w:rPr>
            </w:r>
          </w:p>
        </w:tc>
      </w:tr>
      <w:tr>
        <w:trPr>
          <w:cantSplit/>
          <w:trHeight w:val="57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Федеральный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36 524,74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626,72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  <w:t xml:space="preserve"> </w:t>
            </w: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</w:t>
            </w:r>
            <w:r>
              <w:rPr>
                <w:b/>
                <w:sz w:val="20"/>
              </w:rPr>
              <w:t xml:space="preserve"> </w:t>
            </w:r>
            <w:r>
              <w:rPr>
                <w:b/>
                <w:sz w:val="20"/>
              </w:rPr>
              <w:t xml:space="preserve">089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79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</w:t>
            </w:r>
            <w:r>
              <w:rPr>
                <w:b/>
                <w:sz w:val="20"/>
              </w:rPr>
              <w:t xml:space="preserve"> </w:t>
            </w:r>
            <w:r>
              <w:rPr>
                <w:b/>
                <w:sz w:val="20"/>
              </w:rPr>
              <w:t xml:space="preserve">089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79</w:t>
            </w:r>
            <w:r>
              <w:rPr>
                <w:b/>
                <w:sz w:val="20"/>
              </w:rPr>
            </w:r>
          </w:p>
        </w:tc>
      </w:tr>
      <w:tr>
        <w:trPr>
          <w:cantSplit/>
          <w:trHeight w:val="5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</w:tcPr>
          <w:p>
            <w:pPr>
              <w:pStyle w:val="Normal"/>
              <w:jc w:val="both"/>
              <w:spacing w:lineRule="exact" w:line="24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Благоустройство сельских территорий (в рамках государственной программы Российской Федерации «Комплексное развитие сельских территорий»)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  <w:t xml:space="preserve">25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61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</w:t>
            </w:r>
            <w:r>
              <w:rPr>
                <w:b/>
                <w:sz w:val="20"/>
              </w:rPr>
              <w:t xml:space="preserve">24</w:t>
            </w:r>
            <w:r>
              <w:rPr>
                <w:b/>
                <w:sz w:val="20"/>
              </w:rPr>
              <w:t xml:space="preserve">,9</w:t>
            </w:r>
            <w:r>
              <w:rPr>
                <w:b/>
                <w:sz w:val="20"/>
              </w:rPr>
              <w:t xml:space="preserve">0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166,20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36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15</w:t>
            </w:r>
            <w:r>
              <w:rPr>
                <w:b/>
                <w:sz w:val="20"/>
              </w:rPr>
            </w:r>
          </w:p>
        </w:tc>
      </w:tr>
      <w:tr>
        <w:trPr>
          <w:cantSplit/>
          <w:trHeight w:val="4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</w:t>
            </w:r>
            <w:r>
              <w:rPr>
                <w:b/>
                <w:sz w:val="20"/>
              </w:rPr>
              <w:t xml:space="preserve">7,</w:t>
            </w: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652,65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</w:t>
            </w:r>
            <w:r>
              <w:rPr>
                <w:b/>
                <w:bCs/>
                <w:sz w:val="20"/>
              </w:rPr>
              <w:t xml:space="preserve">9,</w:t>
            </w:r>
            <w:r>
              <w:rPr>
                <w:b/>
                <w:bCs/>
                <w:sz w:val="20"/>
              </w:rPr>
              <w:t xml:space="preserve">45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8,24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</w:t>
            </w:r>
            <w:r>
              <w:rPr>
                <w:b/>
                <w:bCs/>
                <w:sz w:val="20"/>
              </w:rPr>
              <w:t xml:space="preserve">,</w:t>
            </w:r>
            <w:r>
              <w:rPr>
                <w:b/>
                <w:bCs/>
                <w:sz w:val="20"/>
              </w:rPr>
              <w:t xml:space="preserve">51</w:t>
            </w:r>
            <w:r>
              <w:rPr>
                <w:b/>
                <w:bCs/>
                <w:sz w:val="20"/>
              </w:rPr>
            </w:r>
          </w:p>
        </w:tc>
      </w:tr>
      <w:tr>
        <w:trPr>
          <w:cantSplit/>
          <w:trHeight w:val="4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Федеральный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3</w:t>
            </w:r>
            <w:r>
              <w:rPr>
                <w:b/>
                <w:color w:val="000000"/>
                <w:sz w:val="20"/>
              </w:rPr>
              <w:t xml:space="preserve">3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3</w:t>
            </w:r>
            <w:r>
              <w:rPr>
                <w:b/>
                <w:color w:val="000000"/>
                <w:sz w:val="20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76</w:t>
            </w:r>
            <w:r>
              <w:rPr>
                <w:b/>
                <w:bCs/>
                <w:sz w:val="20"/>
              </w:rPr>
              <w:t xml:space="preserve">4</w:t>
            </w:r>
            <w:r>
              <w:rPr>
                <w:b/>
                <w:bCs/>
                <w:sz w:val="20"/>
              </w:rPr>
              <w:t xml:space="preserve">,56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</w:t>
            </w:r>
            <w:r>
              <w:rPr>
                <w:b/>
                <w:bCs/>
                <w:sz w:val="20"/>
              </w:rPr>
              <w:t xml:space="preserve">6</w:t>
            </w:r>
            <w:r>
              <w:rPr>
                <w:b/>
                <w:bCs/>
                <w:sz w:val="20"/>
              </w:rPr>
              <w:t xml:space="preserve">9</w:t>
            </w:r>
            <w:r>
              <w:rPr>
                <w:b/>
                <w:bCs/>
                <w:sz w:val="20"/>
              </w:rPr>
              <w:t xml:space="preserve">,</w:t>
            </w:r>
            <w:r>
              <w:rPr>
                <w:b/>
                <w:bCs/>
                <w:sz w:val="20"/>
              </w:rPr>
              <w:t xml:space="preserve">63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156,49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142,67</w:t>
            </w:r>
            <w:r>
              <w:rPr>
                <w:b/>
                <w:bCs/>
                <w:sz w:val="20"/>
              </w:rPr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Внебюджетные </w:t>
            </w:r>
            <w:r>
              <w:rPr>
                <w:b/>
                <w:spacing w:val="-6"/>
                <w:sz w:val="20"/>
              </w:rPr>
              <w:t xml:space="preserve">источники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4,</w:t>
            </w:r>
            <w:r>
              <w:rPr>
                <w:b/>
                <w:color w:val="000000"/>
                <w:sz w:val="20"/>
              </w:rPr>
              <w:t xml:space="preserve">45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3,45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</w:t>
            </w:r>
            <w:r>
              <w:rPr>
                <w:b/>
                <w:bCs/>
                <w:sz w:val="20"/>
              </w:rPr>
              <w:t xml:space="preserve">5</w:t>
            </w:r>
            <w:r>
              <w:rPr>
                <w:b/>
                <w:bCs/>
                <w:sz w:val="20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0,24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0,21</w:t>
            </w:r>
            <w:r>
              <w:rPr>
                <w:b/>
                <w:bCs/>
                <w:sz w:val="20"/>
              </w:rPr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освещения территорий с использованием энергосберегающих технологий в п. Всеволодо-Вильва, п. Карьер Известняк, п. Яйва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593,96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593,96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375,4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375,4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015,10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015,10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Внебюджетные </w:t>
            </w:r>
            <w:r>
              <w:rPr>
                <w:spacing w:val="-6"/>
                <w:sz w:val="20"/>
              </w:rPr>
              <w:t xml:space="preserve">источники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1,98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1,98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Обустройство площадок накопления твердых коммунальных отходов в </w:t>
              <w:br/>
              <w:t xml:space="preserve">п. В-Вильва, п. к. Известняк, п. Ивакинский карьер, </w:t>
              <w:br/>
              <w:t xml:space="preserve">п. Лытвенский, п. Луньевка, д. Клестово, рзд.п. Люзень, </w:t>
              <w:br/>
              <w:t xml:space="preserve">п. Скопкортная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43</w:t>
            </w:r>
            <w:r>
              <w:rPr>
                <w:bCs/>
                <w:sz w:val="20"/>
              </w:rPr>
              <w:t xml:space="preserve">0</w:t>
            </w:r>
            <w:r>
              <w:rPr>
                <w:bCs/>
                <w:sz w:val="20"/>
              </w:rPr>
              <w:t xml:space="preserve">,</w:t>
            </w:r>
            <w:r>
              <w:rPr>
                <w:bCs/>
                <w:sz w:val="20"/>
              </w:rPr>
              <w:t xml:space="preserve">94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43</w:t>
            </w:r>
            <w:r>
              <w:rPr>
                <w:bCs/>
                <w:sz w:val="20"/>
              </w:rPr>
              <w:t xml:space="preserve">0</w:t>
            </w:r>
            <w:r>
              <w:rPr>
                <w:bCs/>
                <w:sz w:val="20"/>
              </w:rPr>
              <w:t xml:space="preserve">,</w:t>
            </w:r>
            <w:r>
              <w:rPr>
                <w:bCs/>
                <w:sz w:val="20"/>
              </w:rPr>
              <w:t xml:space="preserve">94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277,</w:t>
            </w:r>
            <w:r>
              <w:rPr>
                <w:bCs/>
                <w:sz w:val="20"/>
              </w:rPr>
              <w:t xml:space="preserve">20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277,</w:t>
            </w:r>
            <w:r>
              <w:rPr>
                <w:bCs/>
                <w:sz w:val="20"/>
              </w:rPr>
              <w:t xml:space="preserve">20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749,46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749,46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cantSplit/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Внебюджетные </w:t>
            </w:r>
            <w:r>
              <w:rPr>
                <w:spacing w:val="-6"/>
                <w:sz w:val="20"/>
              </w:rPr>
              <w:t xml:space="preserve">источники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1,47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1,47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trHeight w:val="4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Устройство контейнерных площадок на территории общественных кладбищ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481,5</w:t>
            </w:r>
            <w:r>
              <w:rPr>
                <w:b/>
                <w:bCs/>
                <w:sz w:val="20"/>
              </w:rPr>
              <w:t xml:space="preserve">8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481,5</w:t>
            </w:r>
            <w:r>
              <w:rPr>
                <w:b/>
                <w:bCs/>
                <w:sz w:val="20"/>
              </w:rPr>
              <w:t xml:space="preserve">8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</w:t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spacing w:lineRule="exact" w: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Реализация мероприятий по содержанию территории населенных пунктов (в т.ч. содержание кладбищ)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11 594,33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2 861,63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892,9</w:t>
            </w:r>
            <w:r>
              <w:rPr>
                <w:rFonts w:eastAsia="Arial"/>
                <w:b/>
                <w:sz w:val="20"/>
              </w:rPr>
              <w:t xml:space="preserve">0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919,9</w:t>
            </w:r>
            <w:r>
              <w:rPr>
                <w:rFonts w:eastAsia="Arial"/>
                <w:b/>
                <w:sz w:val="20"/>
              </w:rPr>
              <w:t xml:space="preserve">0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919,9</w:t>
            </w:r>
            <w:r>
              <w:rPr>
                <w:rFonts w:eastAsia="Arial"/>
                <w:b/>
                <w:sz w:val="20"/>
              </w:rPr>
              <w:t xml:space="preserve">0</w:t>
            </w:r>
            <w:r>
              <w:rPr>
                <w:rFonts w:eastAsia="Arial"/>
                <w:b/>
                <w:sz w:val="20"/>
              </w:rPr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spacing w:lineRule="exact" w: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Оплата потребленной электроэнергии на нужды наружного освещения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spacing w:lineRule="exact" w: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32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409,1</w:t>
            </w:r>
            <w:r>
              <w:rPr>
                <w:b/>
                <w:color w:val="000000"/>
                <w:sz w:val="20"/>
              </w:rPr>
              <w:t xml:space="preserve">0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7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673,00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8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194,0</w:t>
            </w:r>
            <w:r>
              <w:rPr>
                <w:rFonts w:eastAsia="Arial"/>
                <w:b/>
                <w:sz w:val="20"/>
              </w:rPr>
              <w:t xml:space="preserve">0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8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271,05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8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271,05</w:t>
            </w:r>
            <w:r>
              <w:rPr>
                <w:sz w:val="20"/>
              </w:rPr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spacing w:lineRule="exact" w:line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и эксплуатация сетей наружного освещения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8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319,5</w:t>
            </w:r>
            <w:r>
              <w:rPr>
                <w:rFonts w:eastAsia="Arial"/>
                <w:b/>
                <w:sz w:val="20"/>
              </w:rPr>
              <w:t xml:space="preserve">7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1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889,5</w:t>
            </w:r>
            <w:r>
              <w:rPr>
                <w:rFonts w:eastAsia="Arial"/>
                <w:b/>
                <w:sz w:val="20"/>
              </w:rPr>
              <w:t xml:space="preserve">7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130,00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150,00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eastAsia="Arial"/>
                <w:b/>
                <w:sz w:val="20"/>
              </w:rPr>
              <w:t xml:space="preserve">150,00</w:t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spacing w:lineRule="exact" w:line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12,8</w:t>
            </w: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12,8</w:t>
            </w:r>
            <w:r>
              <w:rPr>
                <w:rFonts w:eastAsia="Arial"/>
                <w:b/>
                <w:sz w:val="20"/>
              </w:rPr>
              <w:t xml:space="preserve">2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  <w:r>
              <w:rPr>
                <w:rFonts w:eastAsia="Arial"/>
                <w:b/>
                <w:sz w:val="20"/>
              </w:rPr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Погашение просроченной задолженности за выполнение работ по текущему обслуживанию сетей наружного уличного освещения в населенных пунктах Александровского муниципального округа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246,98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246,98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Формирование земельных участков для площадок временного накопления загрязненного снега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150,00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150,00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-</w:t>
            </w:r>
          </w:p>
        </w:tc>
      </w:tr>
      <w:t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по Программе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120 080,6</w:t>
            </w:r>
            <w:r>
              <w:rPr>
                <w:b/>
                <w:color w:val="000000"/>
                <w:sz w:val="20"/>
              </w:rPr>
              <w:t xml:space="preserve">5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31 775,</w:t>
            </w:r>
            <w:r>
              <w:rPr>
                <w:b/>
                <w:color w:val="000000"/>
                <w:sz w:val="20"/>
              </w:rPr>
              <w:t xml:space="preserve">71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9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38</w:t>
            </w:r>
            <w:r>
              <w:rPr>
                <w:b/>
                <w:color w:val="000000"/>
                <w:sz w:val="20"/>
              </w:rPr>
              <w:t xml:space="preserve">6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5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9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469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6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9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448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8</w:t>
            </w: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60 781,4</w:t>
            </w:r>
            <w:r>
              <w:rPr>
                <w:b/>
                <w:color w:val="000000"/>
                <w:sz w:val="20"/>
              </w:rPr>
              <w:t xml:space="preserve">9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15</w:t>
            </w:r>
            <w:r>
              <w:rPr>
                <w:b/>
                <w:color w:val="000000"/>
                <w:sz w:val="20"/>
              </w:rPr>
              <w:t xml:space="preserve"> 706,9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15</w:t>
            </w:r>
            <w:r>
              <w:rPr>
                <w:b/>
                <w:color w:val="000000"/>
                <w:sz w:val="20"/>
              </w:rPr>
              <w:t xml:space="preserve"> 079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15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0</w:t>
            </w:r>
            <w:r>
              <w:rPr>
                <w:b/>
                <w:color w:val="000000"/>
                <w:sz w:val="20"/>
              </w:rPr>
              <w:t xml:space="preserve">00</w:t>
            </w:r>
            <w:r>
              <w:rPr>
                <w:b/>
                <w:color w:val="000000"/>
                <w:sz w:val="20"/>
              </w:rPr>
              <w:t xml:space="preserve">,</w:t>
            </w:r>
            <w:r>
              <w:rPr>
                <w:b/>
                <w:color w:val="000000"/>
                <w:sz w:val="20"/>
              </w:rPr>
              <w:t xml:space="preserve">64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14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994,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3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78" w:type="dxa"/>
            <w:vAlign w:val="top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20 336,62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67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04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5 218,41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5 222,45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5 221,72</w:t>
            </w:r>
            <w:r>
              <w:rPr>
                <w:b/>
                <w:bCs/>
                <w:sz w:val="20"/>
              </w:rPr>
            </w:r>
          </w:p>
        </w:tc>
      </w:tr>
      <w:t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78" w:type="dxa"/>
            <w:vAlign w:val="top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Федеральный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38 958,09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3</w:t>
            </w:r>
            <w:r>
              <w:rPr>
                <w:b/>
                <w:bCs/>
                <w:sz w:val="20"/>
              </w:rPr>
              <w:t xml:space="preserve">91</w:t>
            </w:r>
            <w:r>
              <w:rPr>
                <w:b/>
                <w:bCs/>
                <w:sz w:val="20"/>
              </w:rPr>
              <w:t xml:space="preserve">,28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9 088,07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9 246,28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9 232,46</w:t>
            </w:r>
            <w:r>
              <w:rPr>
                <w:b/>
                <w:bCs/>
                <w:sz w:val="20"/>
              </w:rPr>
            </w:r>
          </w:p>
        </w:tc>
      </w:tr>
      <w:t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78" w:type="dxa"/>
            <w:vAlign w:val="top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Внебюджетные источники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4,</w:t>
            </w:r>
            <w:r>
              <w:rPr>
                <w:b/>
                <w:color w:val="000000"/>
                <w:sz w:val="20"/>
              </w:rPr>
              <w:t xml:space="preserve">45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3,45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</w:t>
            </w:r>
            <w:r>
              <w:rPr>
                <w:b/>
                <w:bCs/>
                <w:sz w:val="20"/>
              </w:rPr>
              <w:t xml:space="preserve">5</w:t>
            </w:r>
            <w:r>
              <w:rPr>
                <w:b/>
                <w:bCs/>
                <w:sz w:val="20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</w:t>
            </w:r>
            <w:r>
              <w:rPr>
                <w:b/>
                <w:bCs/>
                <w:sz w:val="20"/>
              </w:rPr>
              <w:t xml:space="preserve">24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</w:t>
            </w:r>
            <w:r>
              <w:rPr>
                <w:b/>
                <w:bCs/>
                <w:sz w:val="20"/>
              </w:rPr>
              <w:t xml:space="preserve">21</w:t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Normal"/>
        <w:jc w:val="both"/>
        <w:spacing w:lineRule="exact" w:line="240"/>
      </w:pPr>
    </w:p>
    <w:p>
      <w:pPr>
        <w:pStyle w:val="Normal"/>
        <w:jc w:val="both"/>
        <w:spacing w:lineRule="exact" w:line="240"/>
      </w:pPr>
    </w:p>
    <w:p>
      <w:pPr>
        <w:pStyle w:val="Normal"/>
        <w:jc w:val="both"/>
        <w:spacing w:lineRule="exact" w:line="240"/>
      </w:pPr>
    </w:p>
    <w:p>
      <w:pPr>
        <w:pStyle w:val="Normal"/>
        <w:jc w:val="both"/>
        <w:spacing w:lineRule="exact" w:line="240"/>
        <w:sectPr>
          <w:headerReference w:type="default" r:id="rId8"/>
          <w:footerReference w:type="default" r:id="rId10"/>
          <w:type w:val="nextPage"/>
          <w:pgSz w:w="11906" w:h="16838"/>
          <w:pgMar w:top="1134" w:right="851" w:bottom="426" w:left="1418" w:header="709" w:footer="709" w:gutter="0"/>
          <w:pgNumType w:start="1"/>
          <w:cols w:space="708"/>
          <w:docGrid w:linePitch="360"/>
        </w:sectPr>
      </w:pPr>
    </w:p>
    <w:p>
      <w:pPr>
        <w:pStyle w:val="Normal"/>
        <w:jc w:val="both"/>
        <w:spacing w:lineRule="exact" w:line="240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-342899</wp:posOffset>
                </wp:positionV>
                <wp:extent cx="914400" cy="3429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" style="position:absolute;mso-wrap-distance-left:9.0pt;mso-wrap-distance-top:0.0pt;mso-wrap-distance-right:9.0pt;mso-wrap-distance-bottom:0.0pt;z-index:251658243;o:allowoverlap:true;o:allowincell:true;mso-position-horizontal-relative:text;margin-left:207.0pt;mso-position-horizontal:absolute;mso-position-vertical-relative:text;margin-top:-27.0pt;mso-position-vertical:absolute;width:72.0pt;height:27.0pt;" coordsize="100000,100000" path="" fillcolor="#FFFFFF">
                <v:path textboxrect="0,0,0,0"/>
              </v:shape>
            </w:pict>
          </mc:Fallback>
        </mc:AlternateContent>
      </w:r>
      <w:r>
        <w:t xml:space="preserve">Рассылается: дело, Щербинина Т.А., Ешкилев С.В., Клепцина Н.А., </w:t>
      </w:r>
      <w:r>
        <w:br/>
      </w:r>
      <w:r>
        <w:t xml:space="preserve">фин. управление, сайт АМР, Боевой путь, прокуратура</w:t>
      </w:r>
    </w:p>
    <w:p>
      <w:pPr>
        <w:pStyle w:val="Normal"/>
      </w:pPr>
    </w:p>
    <w:sectPr>
      <w:type w:val="nextPage"/>
      <w:pgSz w:w="11906" w:h="16838"/>
      <w:pgMar w:top="1134" w:right="851" w:bottom="426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sz w:val="20"/>
      </w:rPr>
      <w:t xml:space="preserve">42944</w:t>
    </w:r>
    <w:r>
      <w:rPr>
        <w:sz w:val="20"/>
      </w:rPr>
      <w:fldChar w:fldCharType="end"/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sz w:val="20"/>
      </w:rPr>
      <w:t xml:space="preserve">42944</w:t>
    </w:r>
    <w:r>
      <w:rPr>
        <w:sz w:val="20"/>
      </w:rPr>
      <w:fldChar w:fldCharType="end"/>
    </w: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720" w:hanging="360"/>
        <w:tabs>
          <w:tab w:val="num" w:pos="720" w:leader="none"/>
        </w:tabs>
      </w:pPr>
      <w:rPr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sz w:val="28"/>
      <w:lang w:val="ru-RU" w:bidi="ar-SA"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Заголовок к тексту"/>
    <w:basedOn w:val="Normal"/>
    <w:next w:val="BodyText"/>
    <w:link w:val="Normal"/>
    <w:rPr>
      <w:b/>
    </w:rPr>
    <w:pPr>
      <w:spacing w:lineRule="exact" w:line="240" w:after="480"/>
    </w:p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UserStyle_1">
    <w:name w:val="ConsPlusCell"/>
    <w:next w:val="UserStyle_1"/>
    <w:link w:val="Normal"/>
    <w:rPr>
      <w:sz w:val="24"/>
      <w:szCs w:val="24"/>
      <w:lang w:val="ru-RU" w:bidi="ar-SA" w:eastAsia="ru-RU"/>
    </w:rPr>
    <w:pPr>
      <w:widowControl w:val="off"/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ConsPlusNormal"/>
    <w:next w:val="UserStyle_2"/>
    <w:link w:val="Normal"/>
    <w:rPr>
      <w:rFonts w:ascii="Arial" w:hAnsi="Arial"/>
      <w:lang w:val="ru-RU" w:bidi="ar-SA" w:eastAsia="ru-RU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rPr>
      <w:rFonts w:ascii="Tahoma" w:hAnsi="Tahoma"/>
      <w:sz w:val="16"/>
      <w:szCs w:val="16"/>
    </w:rPr>
  </w:style>
  <w:style w:type="character" w:styleId="UserStyle_3">
    <w:name w:val=" Знак Знак"/>
    <w:next w:val="UserStyle_3"/>
    <w:link w:val="Acetate"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ONLYOFFICE/6.0.0.110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